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AE03" w14:textId="557CC143" w:rsidR="003F3060" w:rsidRPr="00593F8E" w:rsidRDefault="00593F8E">
      <w:pPr>
        <w:rPr>
          <w:rFonts w:ascii="Arial" w:hAnsi="Arial" w:cs="Arial"/>
          <w:b/>
          <w:sz w:val="28"/>
        </w:rPr>
      </w:pPr>
      <w:r w:rsidRPr="00593F8E">
        <w:rPr>
          <w:rFonts w:ascii="Arial" w:hAnsi="Arial" w:cs="Arial"/>
          <w:b/>
          <w:sz w:val="28"/>
        </w:rPr>
        <w:t xml:space="preserve">LGA Special Interest Group </w:t>
      </w:r>
      <w:r w:rsidR="003F3060" w:rsidRPr="00593F8E">
        <w:rPr>
          <w:rFonts w:ascii="Arial" w:hAnsi="Arial" w:cs="Arial"/>
          <w:b/>
          <w:sz w:val="28"/>
        </w:rPr>
        <w:t xml:space="preserve">Annual Report to LGA </w:t>
      </w:r>
      <w:r w:rsidR="00476437">
        <w:rPr>
          <w:rFonts w:ascii="Arial" w:hAnsi="Arial" w:cs="Arial"/>
          <w:b/>
          <w:sz w:val="28"/>
        </w:rPr>
        <w:t>Board</w:t>
      </w:r>
    </w:p>
    <w:tbl>
      <w:tblPr>
        <w:tblStyle w:val="TableGrid"/>
        <w:tblW w:w="0" w:type="auto"/>
        <w:tblLook w:val="04A0" w:firstRow="1" w:lastRow="0" w:firstColumn="1" w:lastColumn="0" w:noHBand="0" w:noVBand="1"/>
      </w:tblPr>
      <w:tblGrid>
        <w:gridCol w:w="2061"/>
        <w:gridCol w:w="6955"/>
      </w:tblGrid>
      <w:tr w:rsidR="00C7371B" w:rsidRPr="00593F8E" w14:paraId="22A5AE06" w14:textId="77777777" w:rsidTr="00C7371B">
        <w:tc>
          <w:tcPr>
            <w:tcW w:w="2093" w:type="dxa"/>
          </w:tcPr>
          <w:p w14:paraId="22A5AE04" w14:textId="02E8A0F2" w:rsidR="00C7371B" w:rsidRPr="00593F8E" w:rsidRDefault="00C7371B">
            <w:pPr>
              <w:rPr>
                <w:rFonts w:ascii="Arial" w:hAnsi="Arial" w:cs="Arial"/>
                <w:b/>
              </w:rPr>
            </w:pPr>
            <w:r w:rsidRPr="00593F8E">
              <w:rPr>
                <w:rFonts w:ascii="Arial" w:hAnsi="Arial" w:cs="Arial"/>
                <w:b/>
              </w:rPr>
              <w:t>SIG Name</w:t>
            </w:r>
            <w:r w:rsidR="00593F8E" w:rsidRPr="00593F8E">
              <w:rPr>
                <w:rFonts w:ascii="Arial" w:hAnsi="Arial" w:cs="Arial"/>
                <w:b/>
              </w:rPr>
              <w:t>:</w:t>
            </w:r>
          </w:p>
        </w:tc>
        <w:tc>
          <w:tcPr>
            <w:tcW w:w="7149" w:type="dxa"/>
          </w:tcPr>
          <w:p w14:paraId="22A5AE05" w14:textId="4C190700" w:rsidR="00C7371B" w:rsidRPr="00593F8E" w:rsidRDefault="00B15E3A">
            <w:pPr>
              <w:rPr>
                <w:rFonts w:ascii="Arial" w:hAnsi="Arial" w:cs="Arial"/>
              </w:rPr>
            </w:pPr>
            <w:r>
              <w:rPr>
                <w:rFonts w:ascii="Arial" w:hAnsi="Arial" w:cs="Arial"/>
              </w:rPr>
              <w:t>National Association of Police, Fire and Crime Panels</w:t>
            </w:r>
          </w:p>
        </w:tc>
      </w:tr>
      <w:tr w:rsidR="00C7371B" w:rsidRPr="00593F8E" w14:paraId="22A5AE09" w14:textId="77777777" w:rsidTr="00C7371B">
        <w:tc>
          <w:tcPr>
            <w:tcW w:w="2093" w:type="dxa"/>
          </w:tcPr>
          <w:p w14:paraId="22A5AE07" w14:textId="2B544C3A" w:rsidR="00C7371B" w:rsidRPr="00593F8E" w:rsidRDefault="00C7371B" w:rsidP="00593F8E">
            <w:pPr>
              <w:rPr>
                <w:rFonts w:ascii="Arial" w:hAnsi="Arial" w:cs="Arial"/>
                <w:b/>
              </w:rPr>
            </w:pPr>
            <w:r w:rsidRPr="00593F8E">
              <w:rPr>
                <w:rFonts w:ascii="Arial" w:hAnsi="Arial" w:cs="Arial"/>
                <w:b/>
              </w:rPr>
              <w:t xml:space="preserve">Lead </w:t>
            </w:r>
            <w:r w:rsidR="00593F8E" w:rsidRPr="00593F8E">
              <w:rPr>
                <w:rFonts w:ascii="Arial" w:hAnsi="Arial" w:cs="Arial"/>
                <w:b/>
              </w:rPr>
              <w:t>Member</w:t>
            </w:r>
            <w:r w:rsidR="00E70B17">
              <w:rPr>
                <w:rFonts w:ascii="Arial" w:hAnsi="Arial" w:cs="Arial"/>
                <w:b/>
              </w:rPr>
              <w:t>:</w:t>
            </w:r>
          </w:p>
        </w:tc>
        <w:tc>
          <w:tcPr>
            <w:tcW w:w="7149" w:type="dxa"/>
          </w:tcPr>
          <w:p w14:paraId="22A5AE08" w14:textId="6B579179" w:rsidR="00C7371B" w:rsidRPr="00593F8E" w:rsidRDefault="00B15E3A">
            <w:pPr>
              <w:rPr>
                <w:rFonts w:ascii="Arial" w:hAnsi="Arial" w:cs="Arial"/>
              </w:rPr>
            </w:pPr>
            <w:r>
              <w:rPr>
                <w:rFonts w:ascii="Arial" w:hAnsi="Arial" w:cs="Arial"/>
              </w:rPr>
              <w:t>John Gili-Ross (Chairman)</w:t>
            </w:r>
          </w:p>
        </w:tc>
      </w:tr>
      <w:tr w:rsidR="00593F8E" w:rsidRPr="00593F8E" w14:paraId="43D1F3B7" w14:textId="77777777" w:rsidTr="00C7371B">
        <w:tc>
          <w:tcPr>
            <w:tcW w:w="2093" w:type="dxa"/>
          </w:tcPr>
          <w:p w14:paraId="4E3F6BAB" w14:textId="5BFD28B5" w:rsidR="00593F8E" w:rsidRPr="00593F8E" w:rsidRDefault="00593F8E">
            <w:pPr>
              <w:rPr>
                <w:rFonts w:ascii="Arial" w:hAnsi="Arial" w:cs="Arial"/>
                <w:b/>
              </w:rPr>
            </w:pPr>
            <w:r w:rsidRPr="00593F8E">
              <w:rPr>
                <w:rFonts w:ascii="Arial" w:hAnsi="Arial" w:cs="Arial"/>
                <w:b/>
              </w:rPr>
              <w:t>Lead Officer</w:t>
            </w:r>
            <w:r w:rsidR="00E70B17">
              <w:rPr>
                <w:rFonts w:ascii="Arial" w:hAnsi="Arial" w:cs="Arial"/>
                <w:b/>
              </w:rPr>
              <w:t xml:space="preserve">: </w:t>
            </w:r>
          </w:p>
        </w:tc>
        <w:tc>
          <w:tcPr>
            <w:tcW w:w="7149" w:type="dxa"/>
          </w:tcPr>
          <w:p w14:paraId="7212519D" w14:textId="1A9BFE51" w:rsidR="00593F8E" w:rsidRPr="00593F8E" w:rsidRDefault="00B15E3A">
            <w:pPr>
              <w:rPr>
                <w:rFonts w:ascii="Arial" w:hAnsi="Arial" w:cs="Arial"/>
              </w:rPr>
            </w:pPr>
            <w:r>
              <w:rPr>
                <w:rFonts w:ascii="Arial" w:hAnsi="Arial" w:cs="Arial"/>
              </w:rPr>
              <w:t>Emma Tombs (Secretary)</w:t>
            </w:r>
          </w:p>
        </w:tc>
      </w:tr>
    </w:tbl>
    <w:p w14:paraId="22A5AE0D" w14:textId="77777777" w:rsidR="003F3060" w:rsidRPr="00593F8E" w:rsidRDefault="003F3060">
      <w:pPr>
        <w:rPr>
          <w:rFonts w:ascii="Arial" w:hAnsi="Arial" w:cs="Arial"/>
        </w:rPr>
      </w:pPr>
    </w:p>
    <w:tbl>
      <w:tblPr>
        <w:tblStyle w:val="TableGrid"/>
        <w:tblW w:w="0" w:type="auto"/>
        <w:tblLook w:val="04A0" w:firstRow="1" w:lastRow="0" w:firstColumn="1" w:lastColumn="0" w:noHBand="0" w:noVBand="1"/>
      </w:tblPr>
      <w:tblGrid>
        <w:gridCol w:w="2060"/>
        <w:gridCol w:w="6956"/>
      </w:tblGrid>
      <w:tr w:rsidR="00D63F67" w:rsidRPr="00593F8E" w14:paraId="22A5AE10" w14:textId="77777777" w:rsidTr="00D63F67">
        <w:tc>
          <w:tcPr>
            <w:tcW w:w="2093" w:type="dxa"/>
            <w:shd w:val="clear" w:color="auto" w:fill="DAEEF3" w:themeFill="accent5" w:themeFillTint="33"/>
          </w:tcPr>
          <w:p w14:paraId="22A5AE0E" w14:textId="6EB716A1" w:rsidR="00D63F67" w:rsidRPr="00593F8E" w:rsidRDefault="00D63F67">
            <w:pPr>
              <w:rPr>
                <w:rFonts w:ascii="Arial" w:hAnsi="Arial" w:cs="Arial"/>
                <w:b/>
              </w:rPr>
            </w:pPr>
            <w:r w:rsidRPr="00593F8E">
              <w:rPr>
                <w:rFonts w:ascii="Arial" w:hAnsi="Arial" w:cs="Arial"/>
                <w:b/>
              </w:rPr>
              <w:t>Email</w:t>
            </w:r>
            <w:r w:rsidR="00593F8E" w:rsidRPr="00593F8E">
              <w:rPr>
                <w:rFonts w:ascii="Arial" w:hAnsi="Arial" w:cs="Arial"/>
                <w:b/>
              </w:rPr>
              <w:t xml:space="preserve">: </w:t>
            </w:r>
          </w:p>
        </w:tc>
        <w:tc>
          <w:tcPr>
            <w:tcW w:w="7149" w:type="dxa"/>
            <w:shd w:val="clear" w:color="auto" w:fill="DAEEF3" w:themeFill="accent5" w:themeFillTint="33"/>
          </w:tcPr>
          <w:p w14:paraId="22A5AE0F" w14:textId="33708023" w:rsidR="00D63F67" w:rsidRPr="00593F8E" w:rsidRDefault="00B15E3A">
            <w:pPr>
              <w:rPr>
                <w:rFonts w:ascii="Arial" w:hAnsi="Arial" w:cs="Arial"/>
              </w:rPr>
            </w:pPr>
            <w:r>
              <w:rPr>
                <w:rFonts w:ascii="Arial" w:hAnsi="Arial" w:cs="Arial"/>
              </w:rPr>
              <w:t>Emma.tombs@essex.gov.uk</w:t>
            </w:r>
          </w:p>
        </w:tc>
      </w:tr>
      <w:tr w:rsidR="00D63F67" w:rsidRPr="00593F8E" w14:paraId="22A5AE13" w14:textId="77777777" w:rsidTr="00D63F67">
        <w:tc>
          <w:tcPr>
            <w:tcW w:w="2093" w:type="dxa"/>
            <w:shd w:val="clear" w:color="auto" w:fill="DAEEF3" w:themeFill="accent5" w:themeFillTint="33"/>
          </w:tcPr>
          <w:p w14:paraId="22A5AE11" w14:textId="00EC054B" w:rsidR="00D63F67" w:rsidRPr="00593F8E" w:rsidRDefault="00D63F67">
            <w:pPr>
              <w:rPr>
                <w:rFonts w:ascii="Arial" w:hAnsi="Arial" w:cs="Arial"/>
                <w:b/>
              </w:rPr>
            </w:pPr>
            <w:r w:rsidRPr="00593F8E">
              <w:rPr>
                <w:rFonts w:ascii="Arial" w:hAnsi="Arial" w:cs="Arial"/>
                <w:b/>
              </w:rPr>
              <w:t>Address</w:t>
            </w:r>
            <w:r w:rsidR="00593F8E" w:rsidRPr="00593F8E">
              <w:rPr>
                <w:rFonts w:ascii="Arial" w:hAnsi="Arial" w:cs="Arial"/>
                <w:b/>
              </w:rPr>
              <w:t xml:space="preserve">: </w:t>
            </w:r>
          </w:p>
        </w:tc>
        <w:tc>
          <w:tcPr>
            <w:tcW w:w="7149" w:type="dxa"/>
            <w:shd w:val="clear" w:color="auto" w:fill="DAEEF3" w:themeFill="accent5" w:themeFillTint="33"/>
          </w:tcPr>
          <w:p w14:paraId="22A5AE12" w14:textId="479A44FF" w:rsidR="00D63F67" w:rsidRPr="00593F8E" w:rsidRDefault="00DE737D">
            <w:pPr>
              <w:rPr>
                <w:rFonts w:ascii="Arial" w:hAnsi="Arial" w:cs="Arial"/>
              </w:rPr>
            </w:pPr>
            <w:r>
              <w:rPr>
                <w:rFonts w:ascii="Arial" w:hAnsi="Arial" w:cs="Arial"/>
              </w:rPr>
              <w:t>Essex County Council, County Hall, Market Road, Chelmsford</w:t>
            </w:r>
          </w:p>
        </w:tc>
      </w:tr>
      <w:tr w:rsidR="00D63F67" w:rsidRPr="00593F8E" w14:paraId="22A5AE16" w14:textId="77777777" w:rsidTr="00D63F67">
        <w:tc>
          <w:tcPr>
            <w:tcW w:w="2093" w:type="dxa"/>
            <w:shd w:val="clear" w:color="auto" w:fill="DAEEF3" w:themeFill="accent5" w:themeFillTint="33"/>
          </w:tcPr>
          <w:p w14:paraId="22A5AE14" w14:textId="62BD74BF" w:rsidR="00593F8E" w:rsidRPr="00593F8E" w:rsidRDefault="00D63F67">
            <w:pPr>
              <w:rPr>
                <w:rFonts w:ascii="Arial" w:hAnsi="Arial" w:cs="Arial"/>
                <w:b/>
              </w:rPr>
            </w:pPr>
            <w:r w:rsidRPr="00593F8E">
              <w:rPr>
                <w:rFonts w:ascii="Arial" w:hAnsi="Arial" w:cs="Arial"/>
                <w:b/>
              </w:rPr>
              <w:t>Telephone</w:t>
            </w:r>
            <w:r w:rsidR="00593F8E" w:rsidRPr="00593F8E">
              <w:rPr>
                <w:rFonts w:ascii="Arial" w:hAnsi="Arial" w:cs="Arial"/>
                <w:b/>
              </w:rPr>
              <w:t xml:space="preserve">: </w:t>
            </w:r>
          </w:p>
        </w:tc>
        <w:tc>
          <w:tcPr>
            <w:tcW w:w="7149" w:type="dxa"/>
            <w:shd w:val="clear" w:color="auto" w:fill="DAEEF3" w:themeFill="accent5" w:themeFillTint="33"/>
          </w:tcPr>
          <w:p w14:paraId="22A5AE15" w14:textId="4BF7C07B" w:rsidR="00D63F67" w:rsidRPr="00593F8E" w:rsidRDefault="00DE737D">
            <w:pPr>
              <w:rPr>
                <w:rFonts w:ascii="Arial" w:hAnsi="Arial" w:cs="Arial"/>
              </w:rPr>
            </w:pPr>
            <w:r>
              <w:rPr>
                <w:rFonts w:ascii="Arial" w:hAnsi="Arial" w:cs="Arial"/>
                <w:lang w:eastAsia="en-GB"/>
              </w:rPr>
              <w:t>03330 322709</w:t>
            </w:r>
          </w:p>
        </w:tc>
      </w:tr>
      <w:tr w:rsidR="00593F8E" w:rsidRPr="00593F8E" w14:paraId="2176CCA3" w14:textId="77777777" w:rsidTr="00593F8E">
        <w:tc>
          <w:tcPr>
            <w:tcW w:w="2093" w:type="dxa"/>
            <w:shd w:val="clear" w:color="auto" w:fill="DAEEF3" w:themeFill="accent5" w:themeFillTint="33"/>
          </w:tcPr>
          <w:p w14:paraId="488D244F" w14:textId="77777777" w:rsidR="00593F8E" w:rsidRPr="00593F8E" w:rsidRDefault="00593F8E" w:rsidP="00685DED">
            <w:pPr>
              <w:rPr>
                <w:rFonts w:ascii="Arial" w:hAnsi="Arial" w:cs="Arial"/>
                <w:b/>
              </w:rPr>
            </w:pPr>
            <w:r w:rsidRPr="00593F8E">
              <w:rPr>
                <w:rFonts w:ascii="Arial" w:hAnsi="Arial" w:cs="Arial"/>
                <w:b/>
              </w:rPr>
              <w:t xml:space="preserve">Website: </w:t>
            </w:r>
          </w:p>
        </w:tc>
        <w:tc>
          <w:tcPr>
            <w:tcW w:w="7149" w:type="dxa"/>
            <w:shd w:val="clear" w:color="auto" w:fill="DAEEF3" w:themeFill="accent5" w:themeFillTint="33"/>
          </w:tcPr>
          <w:p w14:paraId="69B6B626" w14:textId="3B7FCCC3" w:rsidR="00593F8E" w:rsidRPr="00593F8E" w:rsidRDefault="00B15E3A" w:rsidP="00685DED">
            <w:pPr>
              <w:rPr>
                <w:rFonts w:ascii="Arial" w:hAnsi="Arial" w:cs="Arial"/>
              </w:rPr>
            </w:pPr>
            <w:r w:rsidRPr="00B15E3A">
              <w:rPr>
                <w:rFonts w:ascii="Arial" w:hAnsi="Arial" w:cs="Arial"/>
              </w:rPr>
              <w:t>http://policecrimepanels.com/</w:t>
            </w:r>
          </w:p>
        </w:tc>
      </w:tr>
    </w:tbl>
    <w:p w14:paraId="22A5AE17" w14:textId="77777777" w:rsidR="00D63F67" w:rsidRPr="00593F8E" w:rsidRDefault="00D63F67">
      <w:pPr>
        <w:rPr>
          <w:rFonts w:ascii="Arial" w:hAnsi="Arial" w:cs="Arial"/>
        </w:rPr>
      </w:pPr>
    </w:p>
    <w:tbl>
      <w:tblPr>
        <w:tblStyle w:val="TableGrid"/>
        <w:tblW w:w="0" w:type="auto"/>
        <w:tblLook w:val="04A0" w:firstRow="1" w:lastRow="0" w:firstColumn="1" w:lastColumn="0" w:noHBand="0" w:noVBand="1"/>
      </w:tblPr>
      <w:tblGrid>
        <w:gridCol w:w="9016"/>
      </w:tblGrid>
      <w:tr w:rsidR="00D63F67" w:rsidRPr="00593F8E" w14:paraId="22A5AE25" w14:textId="77777777" w:rsidTr="00D63F67">
        <w:tc>
          <w:tcPr>
            <w:tcW w:w="9242" w:type="dxa"/>
            <w:shd w:val="clear" w:color="auto" w:fill="DAEEF3" w:themeFill="accent5" w:themeFillTint="33"/>
          </w:tcPr>
          <w:p w14:paraId="22A5AE18" w14:textId="77777777" w:rsidR="00D63F67" w:rsidRDefault="00D63F67">
            <w:pPr>
              <w:rPr>
                <w:rFonts w:ascii="Arial" w:hAnsi="Arial" w:cs="Arial"/>
                <w:b/>
              </w:rPr>
            </w:pPr>
            <w:r w:rsidRPr="00593F8E">
              <w:rPr>
                <w:rFonts w:ascii="Arial" w:hAnsi="Arial" w:cs="Arial"/>
                <w:b/>
              </w:rPr>
              <w:t>Membership</w:t>
            </w:r>
          </w:p>
          <w:p w14:paraId="19C07008" w14:textId="77777777" w:rsidR="00593F8E" w:rsidRPr="00593F8E" w:rsidRDefault="00593F8E">
            <w:pPr>
              <w:rPr>
                <w:rFonts w:ascii="Arial" w:hAnsi="Arial" w:cs="Arial"/>
                <w:b/>
                <w:u w:val="single"/>
              </w:rPr>
            </w:pPr>
          </w:p>
          <w:p w14:paraId="0915A542" w14:textId="5D0765C5" w:rsidR="00D63F67" w:rsidRPr="00B15E3A" w:rsidRDefault="00B15E3A">
            <w:pPr>
              <w:rPr>
                <w:rFonts w:ascii="Arial" w:hAnsi="Arial" w:cs="Arial"/>
                <w:bCs/>
              </w:rPr>
            </w:pPr>
            <w:r w:rsidRPr="00B15E3A">
              <w:rPr>
                <w:rFonts w:ascii="Arial" w:hAnsi="Arial" w:cs="Arial"/>
                <w:bCs/>
              </w:rPr>
              <w:t>Membership is open to all Police, (Fire), and Crime Panels in England and Wales. Of the 41 constituted Panels, 3</w:t>
            </w:r>
            <w:r w:rsidR="00AF6536">
              <w:rPr>
                <w:rFonts w:ascii="Arial" w:hAnsi="Arial" w:cs="Arial"/>
                <w:bCs/>
              </w:rPr>
              <w:t>7</w:t>
            </w:r>
            <w:r w:rsidRPr="00B15E3A">
              <w:rPr>
                <w:rFonts w:ascii="Arial" w:hAnsi="Arial" w:cs="Arial"/>
                <w:bCs/>
              </w:rPr>
              <w:t xml:space="preserve"> have confirmed their membership of the NAPFCP</w:t>
            </w:r>
            <w:r w:rsidR="00AF6536">
              <w:rPr>
                <w:rFonts w:ascii="Arial" w:hAnsi="Arial" w:cs="Arial"/>
                <w:bCs/>
              </w:rPr>
              <w:t xml:space="preserve"> including the 4 Panels in Wales</w:t>
            </w:r>
            <w:r w:rsidRPr="00B15E3A">
              <w:rPr>
                <w:rFonts w:ascii="Arial" w:hAnsi="Arial" w:cs="Arial"/>
                <w:bCs/>
              </w:rPr>
              <w:t xml:space="preserve">. </w:t>
            </w:r>
          </w:p>
          <w:p w14:paraId="22A5AE24" w14:textId="77777777" w:rsidR="00FF05D2" w:rsidRPr="00593F8E" w:rsidRDefault="00FF05D2">
            <w:pPr>
              <w:rPr>
                <w:rFonts w:ascii="Arial" w:hAnsi="Arial" w:cs="Arial"/>
                <w:b/>
                <w:u w:val="single"/>
              </w:rPr>
            </w:pPr>
          </w:p>
        </w:tc>
      </w:tr>
    </w:tbl>
    <w:p w14:paraId="22A5AE26" w14:textId="77777777" w:rsidR="00D63F67" w:rsidRPr="00593F8E" w:rsidRDefault="00D63F67">
      <w:pPr>
        <w:rPr>
          <w:rFonts w:ascii="Arial" w:hAnsi="Arial" w:cs="Arial"/>
        </w:rPr>
      </w:pPr>
    </w:p>
    <w:tbl>
      <w:tblPr>
        <w:tblStyle w:val="TableGrid"/>
        <w:tblW w:w="0" w:type="auto"/>
        <w:tblLook w:val="04A0" w:firstRow="1" w:lastRow="0" w:firstColumn="1" w:lastColumn="0" w:noHBand="0" w:noVBand="1"/>
      </w:tblPr>
      <w:tblGrid>
        <w:gridCol w:w="9016"/>
      </w:tblGrid>
      <w:tr w:rsidR="00C7371B" w:rsidRPr="00593F8E" w14:paraId="22A5AE2F" w14:textId="77777777" w:rsidTr="00C7371B">
        <w:tc>
          <w:tcPr>
            <w:tcW w:w="9242" w:type="dxa"/>
          </w:tcPr>
          <w:p w14:paraId="22A5AE27" w14:textId="4DAD2B35" w:rsidR="00C7371B" w:rsidRDefault="00C7371B">
            <w:pPr>
              <w:rPr>
                <w:rFonts w:ascii="Arial" w:hAnsi="Arial" w:cs="Arial"/>
                <w:i/>
              </w:rPr>
            </w:pPr>
            <w:r w:rsidRPr="00E70B17">
              <w:rPr>
                <w:rFonts w:ascii="Arial" w:hAnsi="Arial" w:cs="Arial"/>
                <w:b/>
              </w:rPr>
              <w:t>Aim</w:t>
            </w:r>
            <w:r w:rsidRPr="0055225B">
              <w:rPr>
                <w:rFonts w:ascii="Arial" w:hAnsi="Arial" w:cs="Arial"/>
                <w:i/>
              </w:rPr>
              <w:t xml:space="preserve"> </w:t>
            </w:r>
            <w:r w:rsidR="0055225B">
              <w:rPr>
                <w:rFonts w:ascii="Arial" w:hAnsi="Arial" w:cs="Arial"/>
                <w:i/>
              </w:rPr>
              <w:t>[</w:t>
            </w:r>
            <w:r w:rsidR="0055225B" w:rsidRPr="0055225B">
              <w:rPr>
                <w:rFonts w:ascii="Arial" w:hAnsi="Arial" w:cs="Arial"/>
                <w:i/>
              </w:rPr>
              <w:t>brief overview of SIG’</w:t>
            </w:r>
            <w:r w:rsidR="0055225B">
              <w:rPr>
                <w:rFonts w:ascii="Arial" w:hAnsi="Arial" w:cs="Arial"/>
                <w:i/>
              </w:rPr>
              <w:t>s main aim]</w:t>
            </w:r>
          </w:p>
          <w:p w14:paraId="075F5C9C" w14:textId="707083AB" w:rsidR="00DE737D" w:rsidRDefault="00DE737D">
            <w:pPr>
              <w:rPr>
                <w:rFonts w:ascii="Arial" w:hAnsi="Arial" w:cs="Arial"/>
                <w:i/>
              </w:rPr>
            </w:pPr>
          </w:p>
          <w:p w14:paraId="460CA9A5" w14:textId="07B793AF" w:rsidR="00DE737D" w:rsidRDefault="00DE737D" w:rsidP="00DE737D">
            <w:pPr>
              <w:pStyle w:val="Default"/>
              <w:rPr>
                <w:rFonts w:ascii="Arial" w:hAnsi="Arial" w:cs="Arial"/>
              </w:rPr>
            </w:pPr>
            <w:r w:rsidRPr="008001AE">
              <w:rPr>
                <w:rFonts w:ascii="Arial" w:hAnsi="Arial" w:cs="Arial"/>
              </w:rPr>
              <w:t xml:space="preserve">The </w:t>
            </w:r>
            <w:r>
              <w:rPr>
                <w:rFonts w:ascii="Arial" w:hAnsi="Arial" w:cs="Arial"/>
              </w:rPr>
              <w:t>N</w:t>
            </w:r>
            <w:r w:rsidRPr="008001AE">
              <w:rPr>
                <w:rFonts w:ascii="Arial" w:hAnsi="Arial" w:cs="Arial"/>
              </w:rPr>
              <w:t>AP</w:t>
            </w:r>
            <w:r w:rsidR="00AF6536">
              <w:rPr>
                <w:rFonts w:ascii="Arial" w:hAnsi="Arial" w:cs="Arial"/>
              </w:rPr>
              <w:t>F</w:t>
            </w:r>
            <w:r w:rsidRPr="008001AE">
              <w:rPr>
                <w:rFonts w:ascii="Arial" w:hAnsi="Arial" w:cs="Arial"/>
              </w:rPr>
              <w:t>CP is a body that supports Police</w:t>
            </w:r>
            <w:r>
              <w:rPr>
                <w:rFonts w:ascii="Arial" w:hAnsi="Arial" w:cs="Arial"/>
              </w:rPr>
              <w:t>, (Fire)</w:t>
            </w:r>
            <w:r w:rsidRPr="008001AE">
              <w:rPr>
                <w:rFonts w:ascii="Arial" w:hAnsi="Arial" w:cs="Arial"/>
              </w:rPr>
              <w:t xml:space="preserve"> and Crime Panels in England and Wales and aims to be nationally recognised as representing and promoting their views and best interests and so influence change for the better.</w:t>
            </w:r>
          </w:p>
          <w:p w14:paraId="69D3621B" w14:textId="6D6786EA" w:rsidR="00DE737D" w:rsidRDefault="00DE737D" w:rsidP="00DE737D">
            <w:pPr>
              <w:pStyle w:val="Default"/>
              <w:rPr>
                <w:rFonts w:ascii="Arial" w:hAnsi="Arial" w:cs="Arial"/>
              </w:rPr>
            </w:pPr>
          </w:p>
          <w:p w14:paraId="68DD73AD" w14:textId="0252CA9F" w:rsidR="00DE737D" w:rsidRPr="009D1DA2" w:rsidRDefault="00DE737D" w:rsidP="00DE737D">
            <w:pPr>
              <w:pStyle w:val="Default"/>
              <w:rPr>
                <w:rFonts w:ascii="Arial" w:hAnsi="Arial" w:cs="Arial"/>
              </w:rPr>
            </w:pPr>
            <w:r w:rsidRPr="009D1DA2">
              <w:rPr>
                <w:rFonts w:ascii="Arial" w:hAnsi="Arial" w:cs="Arial"/>
              </w:rPr>
              <w:t xml:space="preserve">The following </w:t>
            </w:r>
            <w:r>
              <w:rPr>
                <w:rFonts w:ascii="Arial" w:hAnsi="Arial" w:cs="Arial"/>
              </w:rPr>
              <w:t xml:space="preserve">are the NAPFCP </w:t>
            </w:r>
            <w:r w:rsidRPr="009D1DA2">
              <w:rPr>
                <w:rFonts w:ascii="Arial" w:hAnsi="Arial" w:cs="Arial"/>
              </w:rPr>
              <w:t>terms of reference</w:t>
            </w:r>
            <w:r>
              <w:rPr>
                <w:rFonts w:ascii="Arial" w:hAnsi="Arial" w:cs="Arial"/>
              </w:rPr>
              <w:t>:</w:t>
            </w:r>
          </w:p>
          <w:p w14:paraId="12ABAD62" w14:textId="77777777" w:rsidR="00DE737D" w:rsidRPr="009D1DA2" w:rsidRDefault="00DE737D" w:rsidP="00DE737D">
            <w:pPr>
              <w:pStyle w:val="Default"/>
              <w:rPr>
                <w:rFonts w:ascii="Arial" w:hAnsi="Arial" w:cs="Arial"/>
              </w:rPr>
            </w:pPr>
          </w:p>
          <w:p w14:paraId="5F2753E7" w14:textId="77777777" w:rsidR="00DE737D" w:rsidRPr="009D1DA2" w:rsidRDefault="00DE737D" w:rsidP="00DE737D">
            <w:pPr>
              <w:pStyle w:val="Default"/>
              <w:numPr>
                <w:ilvl w:val="0"/>
                <w:numId w:val="1"/>
              </w:numPr>
              <w:ind w:left="426"/>
              <w:rPr>
                <w:rFonts w:ascii="Arial" w:hAnsi="Arial" w:cs="Arial"/>
              </w:rPr>
            </w:pPr>
            <w:r w:rsidRPr="009D1DA2">
              <w:rPr>
                <w:rFonts w:ascii="Arial" w:hAnsi="Arial" w:cs="Arial"/>
              </w:rPr>
              <w:t>To provide a forum for collaborative discussion of issues relating to and impacting on Police and Crime Panels and Police, Fire and Crime Panels (PCPs / PFCPs)</w:t>
            </w:r>
          </w:p>
          <w:p w14:paraId="02CAB3D1" w14:textId="77777777" w:rsidR="00DE737D" w:rsidRPr="009D1DA2" w:rsidRDefault="00DE737D" w:rsidP="00DE737D">
            <w:pPr>
              <w:pStyle w:val="Default"/>
              <w:numPr>
                <w:ilvl w:val="0"/>
                <w:numId w:val="1"/>
              </w:numPr>
              <w:ind w:left="426"/>
              <w:rPr>
                <w:rFonts w:ascii="Arial" w:hAnsi="Arial" w:cs="Arial"/>
              </w:rPr>
            </w:pPr>
            <w:r w:rsidRPr="009D1DA2">
              <w:rPr>
                <w:rFonts w:ascii="Arial" w:hAnsi="Arial" w:cs="Arial"/>
              </w:rPr>
              <w:t>To share ideas and experience in response to the expanding role of PCCs and PFCCs and thereby PCPs / PFCPs</w:t>
            </w:r>
          </w:p>
          <w:p w14:paraId="356105CF" w14:textId="77777777" w:rsidR="00DE737D" w:rsidRPr="009D1DA2" w:rsidRDefault="00DE737D" w:rsidP="00DE737D">
            <w:pPr>
              <w:pStyle w:val="Default"/>
              <w:numPr>
                <w:ilvl w:val="0"/>
                <w:numId w:val="1"/>
              </w:numPr>
              <w:ind w:left="426"/>
              <w:rPr>
                <w:rFonts w:ascii="Arial" w:hAnsi="Arial" w:cs="Arial"/>
              </w:rPr>
            </w:pPr>
            <w:r w:rsidRPr="009D1DA2">
              <w:rPr>
                <w:rFonts w:ascii="Arial" w:hAnsi="Arial" w:cs="Arial"/>
              </w:rPr>
              <w:t>To create a mechanism for direct liaison between PCPs / PFCPs and the Home Office</w:t>
            </w:r>
          </w:p>
          <w:p w14:paraId="6628A879" w14:textId="77777777" w:rsidR="00DE737D" w:rsidRPr="009D1DA2" w:rsidRDefault="00DE737D" w:rsidP="00DE737D">
            <w:pPr>
              <w:pStyle w:val="Default"/>
              <w:numPr>
                <w:ilvl w:val="0"/>
                <w:numId w:val="1"/>
              </w:numPr>
              <w:ind w:left="426"/>
              <w:rPr>
                <w:rFonts w:ascii="Arial" w:hAnsi="Arial" w:cs="Arial"/>
              </w:rPr>
            </w:pPr>
            <w:r w:rsidRPr="009D1DA2">
              <w:rPr>
                <w:rFonts w:ascii="Arial" w:hAnsi="Arial" w:cs="Arial"/>
              </w:rPr>
              <w:t>To provide an opportunity for dialogue with relevant bodies such as the Association of Police and Crime Commissioners, Association of Police and Crime Chief Executives and others</w:t>
            </w:r>
          </w:p>
          <w:p w14:paraId="40D4055F" w14:textId="77777777" w:rsidR="00DE737D" w:rsidRPr="009D1DA2" w:rsidRDefault="00DE737D" w:rsidP="00DE737D">
            <w:pPr>
              <w:pStyle w:val="Default"/>
              <w:numPr>
                <w:ilvl w:val="0"/>
                <w:numId w:val="1"/>
              </w:numPr>
              <w:ind w:left="426"/>
              <w:rPr>
                <w:rFonts w:ascii="Arial" w:hAnsi="Arial" w:cs="Arial"/>
              </w:rPr>
            </w:pPr>
            <w:r w:rsidRPr="009D1DA2">
              <w:rPr>
                <w:rFonts w:ascii="Arial" w:hAnsi="Arial" w:cs="Arial"/>
              </w:rPr>
              <w:t>To support the development of joint PCP /PFCP responses to relevant consultations</w:t>
            </w:r>
          </w:p>
          <w:p w14:paraId="20DED811" w14:textId="77777777" w:rsidR="00DE737D" w:rsidRPr="009D1DA2" w:rsidRDefault="00DE737D" w:rsidP="00DE737D">
            <w:pPr>
              <w:pStyle w:val="Default"/>
              <w:numPr>
                <w:ilvl w:val="0"/>
                <w:numId w:val="1"/>
              </w:numPr>
              <w:ind w:left="426"/>
              <w:rPr>
                <w:rFonts w:ascii="Arial" w:hAnsi="Arial" w:cs="Arial"/>
              </w:rPr>
            </w:pPr>
            <w:r w:rsidRPr="009D1DA2">
              <w:rPr>
                <w:rFonts w:ascii="Arial" w:hAnsi="Arial" w:cs="Arial"/>
              </w:rPr>
              <w:t>To promote professional standards</w:t>
            </w:r>
          </w:p>
          <w:p w14:paraId="2013D3C0" w14:textId="77777777" w:rsidR="00DE737D" w:rsidRPr="009D1DA2" w:rsidRDefault="00DE737D" w:rsidP="00DE737D">
            <w:pPr>
              <w:pStyle w:val="Default"/>
              <w:numPr>
                <w:ilvl w:val="0"/>
                <w:numId w:val="1"/>
              </w:numPr>
              <w:ind w:left="426"/>
              <w:rPr>
                <w:rFonts w:ascii="Arial" w:hAnsi="Arial" w:cs="Arial"/>
              </w:rPr>
            </w:pPr>
            <w:r w:rsidRPr="009D1DA2">
              <w:rPr>
                <w:rFonts w:ascii="Arial" w:hAnsi="Arial" w:cs="Arial"/>
              </w:rPr>
              <w:t>To share good practice and create guidance and other supporting materials for PCPs /PFCPs</w:t>
            </w:r>
          </w:p>
          <w:p w14:paraId="33AF42D8" w14:textId="77777777" w:rsidR="00DE737D" w:rsidRPr="009D1DA2" w:rsidRDefault="00DE737D" w:rsidP="00DE737D">
            <w:pPr>
              <w:pStyle w:val="Default"/>
              <w:numPr>
                <w:ilvl w:val="0"/>
                <w:numId w:val="1"/>
              </w:numPr>
              <w:ind w:left="426"/>
              <w:rPr>
                <w:rFonts w:ascii="Arial" w:hAnsi="Arial" w:cs="Arial"/>
              </w:rPr>
            </w:pPr>
            <w:r w:rsidRPr="009D1DA2">
              <w:rPr>
                <w:rFonts w:ascii="Arial" w:hAnsi="Arial" w:cs="Arial"/>
              </w:rPr>
              <w:t>To ensure stability and collective memory in a landscape where PCPs / PFCPs can have significant changes in membership</w:t>
            </w:r>
          </w:p>
          <w:p w14:paraId="65A426FE" w14:textId="77777777" w:rsidR="00DE737D" w:rsidRPr="009D1DA2" w:rsidRDefault="00DE737D" w:rsidP="00DE737D">
            <w:pPr>
              <w:pStyle w:val="Default"/>
              <w:numPr>
                <w:ilvl w:val="0"/>
                <w:numId w:val="1"/>
              </w:numPr>
              <w:ind w:left="426"/>
              <w:rPr>
                <w:rFonts w:ascii="Arial" w:hAnsi="Arial" w:cs="Arial"/>
              </w:rPr>
            </w:pPr>
            <w:r w:rsidRPr="009D1DA2">
              <w:rPr>
                <w:rFonts w:ascii="Arial" w:hAnsi="Arial" w:cs="Arial"/>
              </w:rPr>
              <w:t>To provide capacity for horizon scanning across all PCPs / PFCPs.</w:t>
            </w:r>
          </w:p>
          <w:p w14:paraId="6578C5E6" w14:textId="77777777" w:rsidR="00DE737D" w:rsidRPr="00C94B05" w:rsidRDefault="00DE737D" w:rsidP="00DE737D">
            <w:pPr>
              <w:pStyle w:val="Default"/>
              <w:numPr>
                <w:ilvl w:val="0"/>
                <w:numId w:val="1"/>
              </w:numPr>
              <w:ind w:left="426"/>
              <w:rPr>
                <w:rFonts w:ascii="Arial" w:hAnsi="Arial" w:cs="Arial"/>
                <w:b/>
              </w:rPr>
            </w:pPr>
            <w:r w:rsidRPr="009D1DA2">
              <w:rPr>
                <w:rFonts w:ascii="Arial" w:hAnsi="Arial" w:cs="Arial"/>
              </w:rPr>
              <w:lastRenderedPageBreak/>
              <w:t>To promote better public understanding of the role of PCPs / PFCPs</w:t>
            </w:r>
          </w:p>
          <w:p w14:paraId="654CEA69" w14:textId="77777777" w:rsidR="00DE737D" w:rsidRDefault="00DE737D" w:rsidP="00DE737D">
            <w:pPr>
              <w:pStyle w:val="Default"/>
              <w:rPr>
                <w:rFonts w:ascii="Arial" w:hAnsi="Arial" w:cs="Arial"/>
                <w:b/>
              </w:rPr>
            </w:pPr>
          </w:p>
          <w:p w14:paraId="52C9A086" w14:textId="5AB886F9" w:rsidR="00DE737D" w:rsidRDefault="00DE737D" w:rsidP="00DE737D">
            <w:pPr>
              <w:rPr>
                <w:rFonts w:ascii="Arial" w:hAnsi="Arial" w:cs="Arial"/>
                <w:sz w:val="24"/>
                <w:szCs w:val="24"/>
              </w:rPr>
            </w:pPr>
            <w:r w:rsidRPr="00981062">
              <w:rPr>
                <w:rFonts w:ascii="Arial" w:hAnsi="Arial" w:cs="Arial"/>
                <w:sz w:val="24"/>
                <w:szCs w:val="24"/>
              </w:rPr>
              <w:t>The</w:t>
            </w:r>
            <w:r>
              <w:rPr>
                <w:rFonts w:ascii="Arial" w:hAnsi="Arial" w:cs="Arial"/>
                <w:sz w:val="24"/>
                <w:szCs w:val="24"/>
              </w:rPr>
              <w:t xml:space="preserve"> membership of the National Association’s</w:t>
            </w:r>
            <w:r w:rsidRPr="00981062">
              <w:rPr>
                <w:rFonts w:ascii="Arial" w:hAnsi="Arial" w:cs="Arial"/>
                <w:sz w:val="24"/>
                <w:szCs w:val="24"/>
              </w:rPr>
              <w:t xml:space="preserve"> Executive </w:t>
            </w:r>
            <w:r>
              <w:rPr>
                <w:rFonts w:ascii="Arial" w:hAnsi="Arial" w:cs="Arial"/>
                <w:sz w:val="24"/>
                <w:szCs w:val="24"/>
              </w:rPr>
              <w:t xml:space="preserve">Committee was confirmed at the </w:t>
            </w:r>
            <w:r w:rsidRPr="00981062">
              <w:rPr>
                <w:rFonts w:ascii="Arial" w:hAnsi="Arial" w:cs="Arial"/>
                <w:sz w:val="24"/>
                <w:szCs w:val="24"/>
              </w:rPr>
              <w:t xml:space="preserve">AGM </w:t>
            </w:r>
            <w:r>
              <w:rPr>
                <w:rFonts w:ascii="Arial" w:hAnsi="Arial" w:cs="Arial"/>
                <w:sz w:val="24"/>
                <w:szCs w:val="24"/>
              </w:rPr>
              <w:t>that took place</w:t>
            </w:r>
            <w:r w:rsidRPr="00981062">
              <w:rPr>
                <w:rFonts w:ascii="Arial" w:hAnsi="Arial" w:cs="Arial"/>
                <w:sz w:val="24"/>
                <w:szCs w:val="24"/>
              </w:rPr>
              <w:t xml:space="preserve"> in November 20</w:t>
            </w:r>
            <w:r>
              <w:rPr>
                <w:rFonts w:ascii="Arial" w:hAnsi="Arial" w:cs="Arial"/>
                <w:sz w:val="24"/>
                <w:szCs w:val="24"/>
              </w:rPr>
              <w:t>2</w:t>
            </w:r>
            <w:r w:rsidR="00AF6536">
              <w:rPr>
                <w:rFonts w:ascii="Arial" w:hAnsi="Arial" w:cs="Arial"/>
                <w:sz w:val="24"/>
                <w:szCs w:val="24"/>
              </w:rPr>
              <w:t>0</w:t>
            </w:r>
            <w:r w:rsidRPr="00981062">
              <w:rPr>
                <w:rFonts w:ascii="Arial" w:hAnsi="Arial" w:cs="Arial"/>
                <w:sz w:val="24"/>
                <w:szCs w:val="24"/>
              </w:rPr>
              <w:t>.</w:t>
            </w:r>
            <w:r>
              <w:rPr>
                <w:rFonts w:ascii="Arial" w:hAnsi="Arial" w:cs="Arial"/>
                <w:sz w:val="24"/>
                <w:szCs w:val="24"/>
              </w:rPr>
              <w:t xml:space="preserve"> Since that time, local elections have had an impact, with two Executive Committee members either choosing not to stand or losing their seat, resulting in ineligibility to sit on the Executive Committee. A co-option process was recently undertaken to fill these two vacancies, pending the next full election / appointment process to take place in November 202</w:t>
            </w:r>
            <w:r w:rsidR="00AF6536">
              <w:rPr>
                <w:rFonts w:ascii="Arial" w:hAnsi="Arial" w:cs="Arial"/>
                <w:sz w:val="24"/>
                <w:szCs w:val="24"/>
              </w:rPr>
              <w:t>1</w:t>
            </w:r>
            <w:r>
              <w:rPr>
                <w:rFonts w:ascii="Arial" w:hAnsi="Arial" w:cs="Arial"/>
                <w:sz w:val="24"/>
                <w:szCs w:val="24"/>
              </w:rPr>
              <w:t>.</w:t>
            </w:r>
          </w:p>
          <w:p w14:paraId="22A5AE2D" w14:textId="77777777" w:rsidR="00C7371B" w:rsidRPr="00593F8E" w:rsidRDefault="00C7371B">
            <w:pPr>
              <w:rPr>
                <w:rFonts w:ascii="Arial" w:hAnsi="Arial" w:cs="Arial"/>
                <w:b/>
              </w:rPr>
            </w:pPr>
          </w:p>
          <w:p w14:paraId="22A5AE2E" w14:textId="77777777" w:rsidR="00C7371B" w:rsidRPr="00593F8E" w:rsidRDefault="00C7371B">
            <w:pPr>
              <w:rPr>
                <w:rFonts w:ascii="Arial" w:hAnsi="Arial" w:cs="Arial"/>
                <w:b/>
              </w:rPr>
            </w:pPr>
          </w:p>
        </w:tc>
      </w:tr>
    </w:tbl>
    <w:p w14:paraId="22A5AE30" w14:textId="77777777" w:rsidR="00C7371B" w:rsidRPr="00593F8E" w:rsidRDefault="00C7371B">
      <w:pPr>
        <w:rPr>
          <w:rFonts w:ascii="Arial" w:hAnsi="Arial" w:cs="Arial"/>
        </w:rPr>
      </w:pPr>
    </w:p>
    <w:tbl>
      <w:tblPr>
        <w:tblStyle w:val="TableGrid"/>
        <w:tblW w:w="0" w:type="auto"/>
        <w:tblLook w:val="04A0" w:firstRow="1" w:lastRow="0" w:firstColumn="1" w:lastColumn="0" w:noHBand="0" w:noVBand="1"/>
      </w:tblPr>
      <w:tblGrid>
        <w:gridCol w:w="9016"/>
      </w:tblGrid>
      <w:tr w:rsidR="00C7371B" w:rsidRPr="00593F8E" w14:paraId="22A5AE4B" w14:textId="77777777" w:rsidTr="00685DED">
        <w:tc>
          <w:tcPr>
            <w:tcW w:w="9016" w:type="dxa"/>
          </w:tcPr>
          <w:p w14:paraId="22A5AE41" w14:textId="0EA3DD8B" w:rsidR="00C7371B" w:rsidRPr="00E94117" w:rsidRDefault="00C7371B">
            <w:pPr>
              <w:rPr>
                <w:rFonts w:ascii="Arial" w:hAnsi="Arial" w:cs="Arial"/>
                <w:i/>
              </w:rPr>
            </w:pPr>
            <w:r w:rsidRPr="00E70B17">
              <w:rPr>
                <w:rFonts w:ascii="Arial" w:hAnsi="Arial" w:cs="Arial"/>
                <w:b/>
              </w:rPr>
              <w:t xml:space="preserve">Key Activities / Outcomes of work undertaken </w:t>
            </w:r>
            <w:r w:rsidR="0055225B">
              <w:rPr>
                <w:rFonts w:ascii="Arial" w:hAnsi="Arial" w:cs="Arial"/>
                <w:i/>
              </w:rPr>
              <w:t>[please keep</w:t>
            </w:r>
            <w:r w:rsidR="00E94117">
              <w:rPr>
                <w:rFonts w:ascii="Arial" w:hAnsi="Arial" w:cs="Arial"/>
                <w:i/>
              </w:rPr>
              <w:t xml:space="preserve"> this section </w:t>
            </w:r>
            <w:r w:rsidR="0055225B">
              <w:rPr>
                <w:rFonts w:ascii="Arial" w:hAnsi="Arial" w:cs="Arial"/>
                <w:i/>
              </w:rPr>
              <w:t>to</w:t>
            </w:r>
            <w:r w:rsidR="00B63AFC">
              <w:rPr>
                <w:rFonts w:ascii="Arial" w:hAnsi="Arial" w:cs="Arial"/>
                <w:i/>
              </w:rPr>
              <w:t xml:space="preserve"> a maximum of </w:t>
            </w:r>
            <w:r w:rsidR="00685DED">
              <w:rPr>
                <w:rFonts w:ascii="Arial" w:hAnsi="Arial" w:cs="Arial"/>
                <w:i/>
              </w:rPr>
              <w:t>one side</w:t>
            </w:r>
            <w:r w:rsidR="0055225B">
              <w:rPr>
                <w:rFonts w:ascii="Arial" w:hAnsi="Arial" w:cs="Arial"/>
                <w:i/>
              </w:rPr>
              <w:t xml:space="preserve"> of A4]</w:t>
            </w:r>
          </w:p>
          <w:p w14:paraId="22A5AE42" w14:textId="77777777" w:rsidR="00C7371B" w:rsidRPr="00593F8E" w:rsidRDefault="00C7371B">
            <w:pPr>
              <w:rPr>
                <w:rFonts w:ascii="Arial" w:hAnsi="Arial" w:cs="Arial"/>
                <w:b/>
                <w:u w:val="single"/>
              </w:rPr>
            </w:pPr>
          </w:p>
          <w:p w14:paraId="637F029B" w14:textId="379E6880" w:rsidR="00AF6536" w:rsidRDefault="00AF6536" w:rsidP="00AF6536">
            <w:pPr>
              <w:rPr>
                <w:rFonts w:ascii="Times" w:hAnsi="Times"/>
                <w:sz w:val="24"/>
                <w:szCs w:val="24"/>
              </w:rPr>
            </w:pPr>
            <w:r w:rsidRPr="00AF6536">
              <w:rPr>
                <w:rFonts w:ascii="Times" w:hAnsi="Times"/>
                <w:sz w:val="24"/>
                <w:szCs w:val="24"/>
              </w:rPr>
              <w:t xml:space="preserve">The Executive Committee meets each month by remote means, to update progress on work streams and discuss and agree any written response to events affecting the sector.  </w:t>
            </w:r>
          </w:p>
          <w:p w14:paraId="531BD5E2" w14:textId="6DE921B4" w:rsidR="00AF6536" w:rsidRDefault="00AF6536" w:rsidP="00AF6536">
            <w:pPr>
              <w:rPr>
                <w:rFonts w:ascii="Times" w:hAnsi="Times"/>
                <w:sz w:val="24"/>
                <w:szCs w:val="24"/>
              </w:rPr>
            </w:pPr>
          </w:p>
          <w:p w14:paraId="5E5B5BFE" w14:textId="77777777" w:rsidR="00AF6536" w:rsidRPr="00AF6536" w:rsidRDefault="00AF6536" w:rsidP="00AF6536">
            <w:pPr>
              <w:rPr>
                <w:rFonts w:ascii="Times" w:hAnsi="Times"/>
                <w:sz w:val="24"/>
                <w:szCs w:val="24"/>
              </w:rPr>
            </w:pPr>
            <w:r w:rsidRPr="00AF6536">
              <w:rPr>
                <w:rFonts w:ascii="Times" w:hAnsi="Times"/>
                <w:sz w:val="24"/>
                <w:szCs w:val="24"/>
              </w:rPr>
              <w:t>The agreed work stream topics currently include:</w:t>
            </w:r>
          </w:p>
          <w:p w14:paraId="71E513C9" w14:textId="35DC2D67" w:rsidR="00AF6536" w:rsidRPr="00AF6536" w:rsidRDefault="00AF6536" w:rsidP="00AF6536">
            <w:pPr>
              <w:pStyle w:val="ListParagraph"/>
              <w:numPr>
                <w:ilvl w:val="0"/>
                <w:numId w:val="2"/>
              </w:numPr>
              <w:rPr>
                <w:rFonts w:ascii="Times" w:hAnsi="Times"/>
                <w:sz w:val="24"/>
                <w:szCs w:val="24"/>
              </w:rPr>
            </w:pPr>
            <w:r w:rsidRPr="00AF6536">
              <w:rPr>
                <w:rFonts w:ascii="Times" w:hAnsi="Times"/>
                <w:sz w:val="24"/>
                <w:szCs w:val="24"/>
              </w:rPr>
              <w:t>Promotion of Best Practice for Panels &amp; Scrutiny of Commissioners</w:t>
            </w:r>
          </w:p>
          <w:p w14:paraId="7C34F12A" w14:textId="5AC6967E" w:rsidR="00AF6536" w:rsidRPr="00AF6536" w:rsidRDefault="00AF6536" w:rsidP="00AF6536">
            <w:pPr>
              <w:pStyle w:val="ListParagraph"/>
              <w:numPr>
                <w:ilvl w:val="0"/>
                <w:numId w:val="2"/>
              </w:numPr>
              <w:rPr>
                <w:rFonts w:ascii="Times" w:hAnsi="Times"/>
                <w:sz w:val="24"/>
                <w:szCs w:val="24"/>
              </w:rPr>
            </w:pPr>
            <w:r w:rsidRPr="00AF6536">
              <w:rPr>
                <w:rFonts w:ascii="Times" w:hAnsi="Times"/>
                <w:sz w:val="24"/>
                <w:szCs w:val="24"/>
              </w:rPr>
              <w:t>Technology Changes &amp; Impact on Budgets</w:t>
            </w:r>
          </w:p>
          <w:p w14:paraId="1614CEDF" w14:textId="0F8843F5" w:rsidR="00AF6536" w:rsidRPr="00AF6536" w:rsidRDefault="00AF6536" w:rsidP="00AF6536">
            <w:pPr>
              <w:pStyle w:val="ListParagraph"/>
              <w:numPr>
                <w:ilvl w:val="0"/>
                <w:numId w:val="2"/>
              </w:numPr>
              <w:rPr>
                <w:rFonts w:ascii="Times" w:hAnsi="Times"/>
                <w:sz w:val="24"/>
                <w:szCs w:val="24"/>
              </w:rPr>
            </w:pPr>
            <w:r w:rsidRPr="00AF6536">
              <w:rPr>
                <w:rFonts w:ascii="Times" w:hAnsi="Times"/>
                <w:sz w:val="24"/>
                <w:szCs w:val="24"/>
              </w:rPr>
              <w:t>Promotion of the Panels Role within Police and FRS to the public</w:t>
            </w:r>
          </w:p>
          <w:p w14:paraId="3751092B" w14:textId="79A3BBDB" w:rsidR="00AF6536" w:rsidRPr="00AF6536" w:rsidRDefault="00AF6536" w:rsidP="00AF6536">
            <w:pPr>
              <w:pStyle w:val="ListParagraph"/>
              <w:numPr>
                <w:ilvl w:val="0"/>
                <w:numId w:val="2"/>
              </w:numPr>
              <w:rPr>
                <w:rFonts w:ascii="Times" w:hAnsi="Times"/>
                <w:sz w:val="24"/>
                <w:szCs w:val="24"/>
              </w:rPr>
            </w:pPr>
            <w:r w:rsidRPr="00AF6536">
              <w:rPr>
                <w:rFonts w:ascii="Times" w:hAnsi="Times"/>
                <w:sz w:val="24"/>
                <w:szCs w:val="24"/>
              </w:rPr>
              <w:t>Commissioner &amp; Chief Constable Senior Appointments</w:t>
            </w:r>
          </w:p>
          <w:p w14:paraId="3AD98D64" w14:textId="30633FB9" w:rsidR="00AF6536" w:rsidRDefault="00AF6536" w:rsidP="00AF6536">
            <w:pPr>
              <w:pStyle w:val="ListParagraph"/>
              <w:numPr>
                <w:ilvl w:val="0"/>
                <w:numId w:val="2"/>
              </w:numPr>
              <w:rPr>
                <w:rFonts w:ascii="Times" w:hAnsi="Times"/>
                <w:sz w:val="24"/>
                <w:szCs w:val="24"/>
              </w:rPr>
            </w:pPr>
            <w:r w:rsidRPr="00AF6536">
              <w:rPr>
                <w:rFonts w:ascii="Times" w:hAnsi="Times"/>
                <w:sz w:val="24"/>
                <w:szCs w:val="24"/>
              </w:rPr>
              <w:t xml:space="preserve">Complaints Handling – PCC and Policing </w:t>
            </w:r>
          </w:p>
          <w:p w14:paraId="6A907BAA" w14:textId="77777777" w:rsidR="00AF6536" w:rsidRPr="00AF6536" w:rsidRDefault="00AF6536" w:rsidP="00D2186D">
            <w:pPr>
              <w:pStyle w:val="ListParagraph"/>
              <w:rPr>
                <w:rFonts w:ascii="Times" w:hAnsi="Times"/>
                <w:sz w:val="24"/>
                <w:szCs w:val="24"/>
              </w:rPr>
            </w:pPr>
          </w:p>
          <w:p w14:paraId="4711F5D7" w14:textId="287544C8" w:rsidR="00AF6536" w:rsidRPr="00AF6536" w:rsidRDefault="00AF6536" w:rsidP="00AF6536">
            <w:pPr>
              <w:rPr>
                <w:rFonts w:ascii="Times" w:hAnsi="Times"/>
                <w:b/>
                <w:bCs/>
                <w:sz w:val="24"/>
                <w:szCs w:val="24"/>
              </w:rPr>
            </w:pPr>
            <w:r w:rsidRPr="00AF6536">
              <w:rPr>
                <w:rFonts w:ascii="Times" w:hAnsi="Times"/>
                <w:b/>
                <w:bCs/>
                <w:sz w:val="24"/>
                <w:szCs w:val="24"/>
              </w:rPr>
              <w:t xml:space="preserve">Other Activities Undertaken </w:t>
            </w:r>
            <w:r w:rsidR="00954B94">
              <w:rPr>
                <w:rFonts w:ascii="Times" w:hAnsi="Times"/>
                <w:b/>
                <w:bCs/>
                <w:sz w:val="24"/>
                <w:szCs w:val="24"/>
              </w:rPr>
              <w:t>during the Year</w:t>
            </w:r>
          </w:p>
          <w:p w14:paraId="17112202" w14:textId="43E51255" w:rsidR="00AF6536" w:rsidRDefault="00AF6536" w:rsidP="00AF6536">
            <w:pPr>
              <w:rPr>
                <w:rFonts w:ascii="Times" w:hAnsi="Times"/>
                <w:sz w:val="24"/>
                <w:szCs w:val="24"/>
              </w:rPr>
            </w:pPr>
            <w:r w:rsidRPr="00AF6536">
              <w:rPr>
                <w:rFonts w:ascii="Times" w:hAnsi="Times"/>
                <w:sz w:val="24"/>
                <w:szCs w:val="24"/>
              </w:rPr>
              <w:t>In addition to the above workstreams the Executive Committee has responded to numerous information and call for evidence documents providing a collective view from panel members.  Many of these responses are shared with panel support officers and chairman as appropriate.</w:t>
            </w:r>
          </w:p>
          <w:p w14:paraId="45FD1E18" w14:textId="77777777" w:rsidR="00AF6536" w:rsidRPr="00AF6536" w:rsidRDefault="00AF6536" w:rsidP="00AF6536">
            <w:pPr>
              <w:rPr>
                <w:rFonts w:ascii="Times" w:hAnsi="Times"/>
                <w:sz w:val="24"/>
                <w:szCs w:val="24"/>
              </w:rPr>
            </w:pPr>
          </w:p>
          <w:p w14:paraId="07526598" w14:textId="35DC721E" w:rsidR="00AF6536" w:rsidRDefault="00AF6536" w:rsidP="00AF6536">
            <w:pPr>
              <w:rPr>
                <w:rFonts w:ascii="Times" w:hAnsi="Times"/>
                <w:sz w:val="24"/>
                <w:szCs w:val="24"/>
              </w:rPr>
            </w:pPr>
            <w:r w:rsidRPr="00AF6536">
              <w:rPr>
                <w:rFonts w:ascii="Times" w:hAnsi="Times"/>
                <w:sz w:val="24"/>
                <w:szCs w:val="24"/>
              </w:rPr>
              <w:t>Other activities</w:t>
            </w:r>
            <w:r>
              <w:rPr>
                <w:rFonts w:ascii="Times" w:hAnsi="Times"/>
                <w:sz w:val="24"/>
                <w:szCs w:val="24"/>
              </w:rPr>
              <w:t xml:space="preserve"> that were</w:t>
            </w:r>
            <w:r w:rsidRPr="00AF6536">
              <w:rPr>
                <w:rFonts w:ascii="Times" w:hAnsi="Times"/>
                <w:sz w:val="24"/>
                <w:szCs w:val="24"/>
              </w:rPr>
              <w:t xml:space="preserve"> undertaken by the NAPFCP </w:t>
            </w:r>
            <w:r>
              <w:rPr>
                <w:rFonts w:ascii="Times" w:hAnsi="Times"/>
                <w:sz w:val="24"/>
                <w:szCs w:val="24"/>
              </w:rPr>
              <w:t xml:space="preserve">during the year </w:t>
            </w:r>
            <w:r w:rsidRPr="00AF6536">
              <w:rPr>
                <w:rFonts w:ascii="Times" w:hAnsi="Times"/>
                <w:sz w:val="24"/>
                <w:szCs w:val="24"/>
              </w:rPr>
              <w:t>include:</w:t>
            </w:r>
          </w:p>
          <w:p w14:paraId="6512AAFC" w14:textId="77777777" w:rsidR="00954B94" w:rsidRPr="00AF6536" w:rsidRDefault="00954B94" w:rsidP="00AF6536">
            <w:pPr>
              <w:rPr>
                <w:rFonts w:ascii="Times" w:hAnsi="Times"/>
                <w:sz w:val="24"/>
                <w:szCs w:val="24"/>
              </w:rPr>
            </w:pPr>
          </w:p>
          <w:p w14:paraId="7F103AE7" w14:textId="65FA7BEC" w:rsidR="00AF6536" w:rsidRPr="00AF6536" w:rsidRDefault="00AF6536" w:rsidP="00AF6536">
            <w:pPr>
              <w:pStyle w:val="ListParagraph"/>
              <w:numPr>
                <w:ilvl w:val="0"/>
                <w:numId w:val="3"/>
              </w:numPr>
              <w:rPr>
                <w:rFonts w:ascii="Times" w:hAnsi="Times"/>
                <w:sz w:val="24"/>
                <w:szCs w:val="24"/>
              </w:rPr>
            </w:pPr>
            <w:r w:rsidRPr="00AF6536">
              <w:rPr>
                <w:rFonts w:ascii="Times" w:hAnsi="Times"/>
                <w:sz w:val="24"/>
                <w:szCs w:val="24"/>
              </w:rPr>
              <w:t>The Emergency Services Network project. – “Over Budget and Under Delivery”.</w:t>
            </w:r>
            <w:r>
              <w:rPr>
                <w:rFonts w:ascii="Times" w:hAnsi="Times"/>
                <w:sz w:val="24"/>
                <w:szCs w:val="24"/>
              </w:rPr>
              <w:t xml:space="preserve">  The tangible effect of this </w:t>
            </w:r>
            <w:r w:rsidR="001B71AF">
              <w:rPr>
                <w:rFonts w:ascii="Times" w:hAnsi="Times"/>
                <w:sz w:val="24"/>
                <w:szCs w:val="24"/>
              </w:rPr>
              <w:t>project and the financial implications to police areas and PCC budgets.</w:t>
            </w:r>
          </w:p>
          <w:p w14:paraId="2CB0A316" w14:textId="2D954A46" w:rsidR="00AF6536" w:rsidRPr="00AF6536" w:rsidRDefault="00AF6536" w:rsidP="00AF6536">
            <w:pPr>
              <w:pStyle w:val="ListParagraph"/>
              <w:numPr>
                <w:ilvl w:val="0"/>
                <w:numId w:val="3"/>
              </w:numPr>
              <w:rPr>
                <w:rFonts w:ascii="Times" w:hAnsi="Times"/>
                <w:sz w:val="24"/>
                <w:szCs w:val="24"/>
              </w:rPr>
            </w:pPr>
            <w:r w:rsidRPr="00AF6536">
              <w:rPr>
                <w:rFonts w:ascii="Times" w:hAnsi="Times"/>
                <w:sz w:val="24"/>
                <w:szCs w:val="24"/>
              </w:rPr>
              <w:t xml:space="preserve">Impact of ESN delays and the Airwave network on budgets </w:t>
            </w:r>
            <w:r w:rsidR="001B71AF">
              <w:rPr>
                <w:rFonts w:ascii="Times" w:hAnsi="Times"/>
                <w:sz w:val="24"/>
                <w:szCs w:val="24"/>
              </w:rPr>
              <w:t>– The impact of top slice budget expenditure and the net effect of the police force interim solutions and dual running of the Airwave network.</w:t>
            </w:r>
          </w:p>
          <w:p w14:paraId="0F6D3D84" w14:textId="0A54E853" w:rsidR="00AF6536" w:rsidRPr="00AF6536" w:rsidRDefault="00AF6536" w:rsidP="00AF6536">
            <w:pPr>
              <w:pStyle w:val="ListParagraph"/>
              <w:numPr>
                <w:ilvl w:val="0"/>
                <w:numId w:val="3"/>
              </w:numPr>
              <w:rPr>
                <w:rFonts w:ascii="Times" w:hAnsi="Times"/>
                <w:sz w:val="24"/>
                <w:szCs w:val="24"/>
              </w:rPr>
            </w:pPr>
            <w:r w:rsidRPr="00AF6536">
              <w:rPr>
                <w:rFonts w:ascii="Times" w:hAnsi="Times"/>
                <w:sz w:val="24"/>
                <w:szCs w:val="24"/>
              </w:rPr>
              <w:t>Addressing the Public Accounts Committee on ESN delay</w:t>
            </w:r>
            <w:r w:rsidR="001B71AF">
              <w:rPr>
                <w:rFonts w:ascii="Times" w:hAnsi="Times"/>
                <w:sz w:val="24"/>
                <w:szCs w:val="24"/>
              </w:rPr>
              <w:t xml:space="preserve"> – A private session with the PAC to explain the NAPFCP findings of ESN delays</w:t>
            </w:r>
          </w:p>
          <w:p w14:paraId="6CDD9F1B" w14:textId="701EA776" w:rsidR="00AF6536" w:rsidRPr="00AF6536" w:rsidRDefault="00AF6536" w:rsidP="00AF6536">
            <w:pPr>
              <w:pStyle w:val="ListParagraph"/>
              <w:numPr>
                <w:ilvl w:val="0"/>
                <w:numId w:val="3"/>
              </w:numPr>
              <w:rPr>
                <w:rFonts w:ascii="Times" w:hAnsi="Times"/>
                <w:sz w:val="24"/>
                <w:szCs w:val="24"/>
              </w:rPr>
            </w:pPr>
            <w:r w:rsidRPr="00AF6536">
              <w:rPr>
                <w:rFonts w:ascii="Times" w:hAnsi="Times"/>
                <w:sz w:val="24"/>
                <w:szCs w:val="24"/>
              </w:rPr>
              <w:t>Police Foundation - Call for Evidence Part 1 &amp; 2</w:t>
            </w:r>
            <w:r w:rsidR="001B71AF">
              <w:rPr>
                <w:rFonts w:ascii="Times" w:hAnsi="Times"/>
                <w:sz w:val="24"/>
                <w:szCs w:val="24"/>
              </w:rPr>
              <w:t xml:space="preserve"> – Submissions produced and delivered reflecting the sectors findings</w:t>
            </w:r>
          </w:p>
          <w:p w14:paraId="0D2DCAD1" w14:textId="53F955A5" w:rsidR="00AF6536" w:rsidRPr="00AF6536" w:rsidRDefault="00AF6536" w:rsidP="00AF6536">
            <w:pPr>
              <w:pStyle w:val="ListParagraph"/>
              <w:numPr>
                <w:ilvl w:val="0"/>
                <w:numId w:val="3"/>
              </w:numPr>
              <w:rPr>
                <w:rFonts w:ascii="Times" w:hAnsi="Times"/>
                <w:sz w:val="24"/>
                <w:szCs w:val="24"/>
              </w:rPr>
            </w:pPr>
            <w:r w:rsidRPr="00AF6536">
              <w:rPr>
                <w:rFonts w:ascii="Times" w:hAnsi="Times"/>
                <w:sz w:val="24"/>
                <w:szCs w:val="24"/>
              </w:rPr>
              <w:t xml:space="preserve">Home Office PCC Review - Call for Evidence Part 1 </w:t>
            </w:r>
            <w:r w:rsidR="001B71AF">
              <w:rPr>
                <w:rFonts w:ascii="Times" w:hAnsi="Times"/>
                <w:sz w:val="24"/>
                <w:szCs w:val="24"/>
              </w:rPr>
              <w:t xml:space="preserve">– Submission of the NAPFCP report with many of its findings and recommendations being reflected in the Part 1 </w:t>
            </w:r>
            <w:r w:rsidR="001B71AF">
              <w:rPr>
                <w:rFonts w:ascii="Times" w:hAnsi="Times"/>
                <w:sz w:val="24"/>
                <w:szCs w:val="24"/>
              </w:rPr>
              <w:lastRenderedPageBreak/>
              <w:t xml:space="preserve">review report.  The Chairman had written to the PCC Review team requesting PFCP representation on the Advisory Group.  </w:t>
            </w:r>
          </w:p>
          <w:p w14:paraId="30CA7F15" w14:textId="1AD6F979" w:rsidR="00AF6536" w:rsidRPr="00AF6536" w:rsidRDefault="00AF6536" w:rsidP="00AF6536">
            <w:pPr>
              <w:pStyle w:val="ListParagraph"/>
              <w:numPr>
                <w:ilvl w:val="0"/>
                <w:numId w:val="3"/>
              </w:numPr>
              <w:rPr>
                <w:rFonts w:ascii="Times" w:hAnsi="Times"/>
                <w:sz w:val="24"/>
                <w:szCs w:val="24"/>
              </w:rPr>
            </w:pPr>
            <w:r w:rsidRPr="00AF6536">
              <w:rPr>
                <w:rFonts w:ascii="Times" w:hAnsi="Times"/>
                <w:sz w:val="24"/>
                <w:szCs w:val="24"/>
              </w:rPr>
              <w:t>College of Policing Review</w:t>
            </w:r>
            <w:r w:rsidR="001B71AF">
              <w:rPr>
                <w:rFonts w:ascii="Times" w:hAnsi="Times"/>
                <w:sz w:val="24"/>
                <w:szCs w:val="24"/>
              </w:rPr>
              <w:t xml:space="preserve"> – Submission of NAPFCP findings using exec member </w:t>
            </w:r>
            <w:r w:rsidR="00D2186D">
              <w:rPr>
                <w:rFonts w:ascii="Times" w:hAnsi="Times"/>
                <w:sz w:val="24"/>
                <w:szCs w:val="24"/>
              </w:rPr>
              <w:t>experiences of the college, updated by input from serving officers.  A copy is available for the LGA if required.</w:t>
            </w:r>
          </w:p>
          <w:p w14:paraId="637A0339" w14:textId="07CEA3FB" w:rsidR="00AF6536" w:rsidRPr="00AF6536" w:rsidRDefault="00AF6536" w:rsidP="00AF6536">
            <w:pPr>
              <w:pStyle w:val="ListParagraph"/>
              <w:numPr>
                <w:ilvl w:val="0"/>
                <w:numId w:val="3"/>
              </w:numPr>
              <w:rPr>
                <w:rFonts w:ascii="Times" w:hAnsi="Times"/>
                <w:sz w:val="24"/>
                <w:szCs w:val="24"/>
              </w:rPr>
            </w:pPr>
            <w:r w:rsidRPr="00AF6536">
              <w:rPr>
                <w:rFonts w:ascii="Times" w:hAnsi="Times"/>
                <w:sz w:val="24"/>
                <w:szCs w:val="24"/>
              </w:rPr>
              <w:t>Panels Remote Working Survey</w:t>
            </w:r>
            <w:r w:rsidR="00D2186D">
              <w:rPr>
                <w:rFonts w:ascii="Times" w:hAnsi="Times"/>
                <w:sz w:val="24"/>
                <w:szCs w:val="24"/>
              </w:rPr>
              <w:t xml:space="preserve">- Survey carried out in Dec 20 / Jan 21to record Panel impact on remote working practices during lockdown </w:t>
            </w:r>
          </w:p>
          <w:p w14:paraId="5ADA7D31" w14:textId="6F86D2DA" w:rsidR="00AF6536" w:rsidRPr="00AF6536" w:rsidRDefault="00AF6536" w:rsidP="00AF6536">
            <w:pPr>
              <w:pStyle w:val="ListParagraph"/>
              <w:numPr>
                <w:ilvl w:val="0"/>
                <w:numId w:val="3"/>
              </w:numPr>
              <w:rPr>
                <w:rFonts w:ascii="Times" w:hAnsi="Times"/>
                <w:sz w:val="24"/>
                <w:szCs w:val="24"/>
              </w:rPr>
            </w:pPr>
            <w:r w:rsidRPr="00AF6536">
              <w:rPr>
                <w:rFonts w:ascii="Times" w:hAnsi="Times"/>
                <w:sz w:val="24"/>
                <w:szCs w:val="24"/>
              </w:rPr>
              <w:t>Government Remote Meetings - Call for Evidence</w:t>
            </w:r>
            <w:r w:rsidR="00D2186D">
              <w:rPr>
                <w:rFonts w:ascii="Times" w:hAnsi="Times"/>
                <w:sz w:val="24"/>
                <w:szCs w:val="24"/>
              </w:rPr>
              <w:t xml:space="preserve"> – NAPFCP submitted a response to this </w:t>
            </w:r>
            <w:proofErr w:type="spellStart"/>
            <w:r w:rsidR="00D2186D">
              <w:rPr>
                <w:rFonts w:ascii="Times" w:hAnsi="Times"/>
                <w:sz w:val="24"/>
                <w:szCs w:val="24"/>
              </w:rPr>
              <w:t>CoE</w:t>
            </w:r>
            <w:proofErr w:type="spellEnd"/>
            <w:r w:rsidR="00D2186D">
              <w:rPr>
                <w:rFonts w:ascii="Times" w:hAnsi="Times"/>
                <w:sz w:val="24"/>
                <w:szCs w:val="24"/>
              </w:rPr>
              <w:t xml:space="preserve"> which included references and evidence discovered by to the survey undertaken by the NAPFCP in December 2021 </w:t>
            </w:r>
          </w:p>
          <w:p w14:paraId="0B01B8B1" w14:textId="6A0E9F65" w:rsidR="00AF6536" w:rsidRPr="00AF6536" w:rsidRDefault="00AF6536" w:rsidP="00AF6536">
            <w:pPr>
              <w:pStyle w:val="ListParagraph"/>
              <w:numPr>
                <w:ilvl w:val="0"/>
                <w:numId w:val="3"/>
              </w:numPr>
              <w:rPr>
                <w:rFonts w:ascii="Times" w:hAnsi="Times"/>
                <w:sz w:val="24"/>
                <w:szCs w:val="24"/>
              </w:rPr>
            </w:pPr>
            <w:r w:rsidRPr="00AF6536">
              <w:rPr>
                <w:rFonts w:ascii="Times" w:hAnsi="Times"/>
                <w:sz w:val="24"/>
                <w:szCs w:val="24"/>
              </w:rPr>
              <w:t>Quarterly meetings with the LGA</w:t>
            </w:r>
            <w:r w:rsidR="00D2186D">
              <w:rPr>
                <w:rFonts w:ascii="Times" w:hAnsi="Times"/>
                <w:sz w:val="24"/>
                <w:szCs w:val="24"/>
              </w:rPr>
              <w:t xml:space="preserve"> – Lucy </w:t>
            </w:r>
            <w:proofErr w:type="spellStart"/>
            <w:r w:rsidR="00D2186D">
              <w:rPr>
                <w:rFonts w:ascii="Times" w:hAnsi="Times"/>
                <w:sz w:val="24"/>
                <w:szCs w:val="24"/>
              </w:rPr>
              <w:t>Ellender</w:t>
            </w:r>
            <w:proofErr w:type="spellEnd"/>
          </w:p>
          <w:p w14:paraId="5C170364" w14:textId="3D8A327E" w:rsidR="00AF6536" w:rsidRPr="00AF6536" w:rsidRDefault="00AF6536" w:rsidP="00AF6536">
            <w:pPr>
              <w:pStyle w:val="ListParagraph"/>
              <w:numPr>
                <w:ilvl w:val="0"/>
                <w:numId w:val="3"/>
              </w:numPr>
              <w:rPr>
                <w:rFonts w:ascii="Times" w:hAnsi="Times"/>
                <w:sz w:val="24"/>
                <w:szCs w:val="24"/>
              </w:rPr>
            </w:pPr>
            <w:r w:rsidRPr="00AF6536">
              <w:rPr>
                <w:rFonts w:ascii="Times" w:hAnsi="Times"/>
                <w:sz w:val="24"/>
                <w:szCs w:val="24"/>
              </w:rPr>
              <w:t>Quarterly meetings with the APCC – Chairman &amp; CEO</w:t>
            </w:r>
          </w:p>
          <w:p w14:paraId="37F4C328" w14:textId="77B95621" w:rsidR="004A7E95" w:rsidRPr="00A3021F" w:rsidRDefault="00AF6536" w:rsidP="00A3021F">
            <w:pPr>
              <w:pStyle w:val="ListParagraph"/>
              <w:numPr>
                <w:ilvl w:val="0"/>
                <w:numId w:val="3"/>
              </w:numPr>
              <w:rPr>
                <w:rFonts w:ascii="Times" w:hAnsi="Times"/>
                <w:sz w:val="24"/>
                <w:szCs w:val="24"/>
              </w:rPr>
            </w:pPr>
            <w:r w:rsidRPr="00AF6536">
              <w:rPr>
                <w:rFonts w:ascii="Times" w:hAnsi="Times"/>
                <w:sz w:val="24"/>
                <w:szCs w:val="24"/>
              </w:rPr>
              <w:t xml:space="preserve">Advising </w:t>
            </w:r>
            <w:r w:rsidR="00954B94">
              <w:rPr>
                <w:rFonts w:ascii="Times" w:hAnsi="Times"/>
                <w:sz w:val="24"/>
                <w:szCs w:val="24"/>
              </w:rPr>
              <w:t xml:space="preserve">Panel </w:t>
            </w:r>
            <w:r w:rsidRPr="00AF6536">
              <w:rPr>
                <w:rFonts w:ascii="Times" w:hAnsi="Times"/>
                <w:sz w:val="24"/>
                <w:szCs w:val="24"/>
              </w:rPr>
              <w:t>Chairs and Support Officers – On average 3 sessions per month.</w:t>
            </w:r>
          </w:p>
          <w:p w14:paraId="22A5AE4A" w14:textId="027FF5B5" w:rsidR="00212597" w:rsidRPr="00593F8E" w:rsidRDefault="00212597">
            <w:pPr>
              <w:rPr>
                <w:rFonts w:ascii="Arial" w:hAnsi="Arial" w:cs="Arial"/>
                <w:b/>
                <w:u w:val="single"/>
              </w:rPr>
            </w:pPr>
          </w:p>
        </w:tc>
      </w:tr>
    </w:tbl>
    <w:p w14:paraId="58081233" w14:textId="77777777" w:rsidR="00212597" w:rsidRDefault="00212597" w:rsidP="00E94117">
      <w:pPr>
        <w:rPr>
          <w:rFonts w:ascii="Arial" w:hAnsi="Arial" w:cs="Arial"/>
          <w:b/>
        </w:rPr>
      </w:pPr>
    </w:p>
    <w:p w14:paraId="22A5AE4C" w14:textId="77777777" w:rsidR="00C7371B" w:rsidRPr="003F3060" w:rsidRDefault="00C7371B"/>
    <w:sectPr w:rsidR="00C7371B" w:rsidRPr="003F306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C8CBF" w14:textId="77777777" w:rsidR="00EE20BB" w:rsidRDefault="00EE20BB" w:rsidP="003F3060">
      <w:pPr>
        <w:spacing w:after="0" w:line="240" w:lineRule="auto"/>
      </w:pPr>
      <w:r>
        <w:separator/>
      </w:r>
    </w:p>
  </w:endnote>
  <w:endnote w:type="continuationSeparator" w:id="0">
    <w:p w14:paraId="2FC11E5E" w14:textId="77777777" w:rsidR="00EE20BB" w:rsidRDefault="00EE20BB" w:rsidP="003F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3BA4" w14:textId="77777777" w:rsidR="00EF3441" w:rsidRDefault="00EF3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ACAE" w14:textId="77777777" w:rsidR="00EF3441" w:rsidRDefault="00EF34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DD59" w14:textId="77777777" w:rsidR="00EF3441" w:rsidRDefault="00EF3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9BE76" w14:textId="77777777" w:rsidR="00EE20BB" w:rsidRDefault="00EE20BB" w:rsidP="003F3060">
      <w:pPr>
        <w:spacing w:after="0" w:line="240" w:lineRule="auto"/>
      </w:pPr>
      <w:r>
        <w:separator/>
      </w:r>
    </w:p>
  </w:footnote>
  <w:footnote w:type="continuationSeparator" w:id="0">
    <w:p w14:paraId="19D8DD78" w14:textId="77777777" w:rsidR="00EE20BB" w:rsidRDefault="00EE20BB" w:rsidP="003F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5AAD" w14:textId="77777777" w:rsidR="00EF3441" w:rsidRDefault="00EF3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628"/>
      <w:gridCol w:w="3398"/>
    </w:tblGrid>
    <w:tr w:rsidR="00685DED" w:rsidRPr="00BA25CB" w14:paraId="7B339F34" w14:textId="77777777" w:rsidTr="00685DED">
      <w:tc>
        <w:tcPr>
          <w:tcW w:w="5778" w:type="dxa"/>
          <w:vMerge w:val="restart"/>
          <w:shd w:val="clear" w:color="auto" w:fill="auto"/>
        </w:tcPr>
        <w:p w14:paraId="286F9432" w14:textId="77777777" w:rsidR="00685DED" w:rsidRPr="00BA25CB" w:rsidRDefault="00685DED" w:rsidP="00593F8E">
          <w:pPr>
            <w:pStyle w:val="Header"/>
            <w:rPr>
              <w:rFonts w:ascii="Arial" w:hAnsi="Arial" w:cs="Arial"/>
            </w:rPr>
          </w:pPr>
          <w:r w:rsidRPr="007B7CB8">
            <w:rPr>
              <w:rFonts w:ascii="Arial" w:hAnsi="Arial" w:cs="Arial"/>
              <w:noProof/>
              <w:lang w:eastAsia="en-GB"/>
            </w:rPr>
            <w:drawing>
              <wp:inline distT="0" distB="0" distL="0" distR="0" wp14:anchorId="6E9CF924" wp14:editId="170EC89A">
                <wp:extent cx="1249680" cy="754380"/>
                <wp:effectExtent l="0" t="0" r="762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54380"/>
                        </a:xfrm>
                        <a:prstGeom prst="rect">
                          <a:avLst/>
                        </a:prstGeom>
                        <a:noFill/>
                        <a:ln>
                          <a:noFill/>
                        </a:ln>
                      </pic:spPr>
                    </pic:pic>
                  </a:graphicData>
                </a:graphic>
              </wp:inline>
            </w:drawing>
          </w:r>
          <w:r w:rsidRPr="00BA25CB">
            <w:rPr>
              <w:rFonts w:ascii="Arial" w:hAnsi="Arial" w:cs="Arial"/>
            </w:rPr>
            <w:t xml:space="preserve">                 </w:t>
          </w:r>
        </w:p>
        <w:p w14:paraId="5B94FABC" w14:textId="77777777" w:rsidR="00685DED" w:rsidRPr="00BA25CB" w:rsidRDefault="00685DED" w:rsidP="00593F8E">
          <w:pPr>
            <w:pStyle w:val="Header"/>
            <w:rPr>
              <w:rFonts w:ascii="Arial" w:hAnsi="Arial" w:cs="Arial"/>
            </w:rPr>
          </w:pPr>
        </w:p>
      </w:tc>
      <w:tc>
        <w:tcPr>
          <w:tcW w:w="3509" w:type="dxa"/>
          <w:shd w:val="clear" w:color="auto" w:fill="auto"/>
        </w:tcPr>
        <w:p w14:paraId="7D63DD74" w14:textId="6F0858A2" w:rsidR="00685DED" w:rsidRPr="00BA25CB" w:rsidRDefault="000E62B6" w:rsidP="00476437">
          <w:pPr>
            <w:pStyle w:val="Header"/>
            <w:tabs>
              <w:tab w:val="left" w:pos="2802"/>
            </w:tabs>
            <w:jc w:val="right"/>
            <w:rPr>
              <w:rFonts w:ascii="Arial" w:hAnsi="Arial" w:cs="Arial"/>
              <w:b/>
            </w:rPr>
          </w:pPr>
          <w:r>
            <w:rPr>
              <w:rFonts w:ascii="Arial" w:hAnsi="Arial" w:cs="Arial"/>
              <w:b/>
            </w:rPr>
            <w:t xml:space="preserve">LGA </w:t>
          </w:r>
          <w:r w:rsidR="00685DED">
            <w:rPr>
              <w:rFonts w:ascii="Arial" w:hAnsi="Arial" w:cs="Arial"/>
              <w:b/>
            </w:rPr>
            <w:t>Board</w:t>
          </w:r>
        </w:p>
      </w:tc>
    </w:tr>
    <w:tr w:rsidR="00685DED" w:rsidRPr="00BA25CB" w14:paraId="4D92DD3B" w14:textId="77777777" w:rsidTr="00685DED">
      <w:trPr>
        <w:trHeight w:val="450"/>
      </w:trPr>
      <w:tc>
        <w:tcPr>
          <w:tcW w:w="5778" w:type="dxa"/>
          <w:vMerge/>
          <w:shd w:val="clear" w:color="auto" w:fill="auto"/>
        </w:tcPr>
        <w:p w14:paraId="066F75AC" w14:textId="77777777" w:rsidR="00685DED" w:rsidRPr="00BA25CB" w:rsidRDefault="00685DED" w:rsidP="00593F8E">
          <w:pPr>
            <w:pStyle w:val="Header"/>
            <w:rPr>
              <w:rFonts w:ascii="Arial" w:hAnsi="Arial" w:cs="Arial"/>
            </w:rPr>
          </w:pPr>
        </w:p>
      </w:tc>
      <w:tc>
        <w:tcPr>
          <w:tcW w:w="3509" w:type="dxa"/>
          <w:shd w:val="clear" w:color="auto" w:fill="auto"/>
        </w:tcPr>
        <w:p w14:paraId="7D01EA9F" w14:textId="1C9AF860" w:rsidR="00685DED" w:rsidRPr="00BA25CB" w:rsidRDefault="00685DED" w:rsidP="00593F8E">
          <w:pPr>
            <w:pStyle w:val="Header"/>
            <w:spacing w:before="60"/>
            <w:rPr>
              <w:rFonts w:ascii="Arial" w:hAnsi="Arial" w:cs="Arial"/>
            </w:rPr>
          </w:pPr>
        </w:p>
      </w:tc>
    </w:tr>
    <w:tr w:rsidR="00685DED" w:rsidRPr="0097063D" w14:paraId="3FB3C518" w14:textId="77777777" w:rsidTr="00685DED">
      <w:trPr>
        <w:trHeight w:val="450"/>
      </w:trPr>
      <w:tc>
        <w:tcPr>
          <w:tcW w:w="5778" w:type="dxa"/>
          <w:vMerge/>
          <w:shd w:val="clear" w:color="auto" w:fill="auto"/>
        </w:tcPr>
        <w:p w14:paraId="163E09DC" w14:textId="77777777" w:rsidR="00685DED" w:rsidRDefault="00685DED" w:rsidP="00593F8E">
          <w:pPr>
            <w:pStyle w:val="Header"/>
          </w:pPr>
        </w:p>
      </w:tc>
      <w:tc>
        <w:tcPr>
          <w:tcW w:w="3509" w:type="dxa"/>
          <w:shd w:val="clear" w:color="auto" w:fill="auto"/>
          <w:vAlign w:val="bottom"/>
        </w:tcPr>
        <w:p w14:paraId="650D0633" w14:textId="77777777" w:rsidR="00685DED" w:rsidRPr="0097063D" w:rsidRDefault="00685DED" w:rsidP="00593F8E">
          <w:pPr>
            <w:pStyle w:val="Header"/>
            <w:spacing w:before="60"/>
            <w:rPr>
              <w:rFonts w:ascii="Arial" w:hAnsi="Arial" w:cs="Arial"/>
              <w:b/>
            </w:rPr>
          </w:pPr>
        </w:p>
      </w:tc>
    </w:tr>
  </w:tbl>
  <w:p w14:paraId="22A5AE51" w14:textId="42EC7D4D" w:rsidR="00685DED" w:rsidRDefault="00685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CA3E" w14:textId="77777777" w:rsidR="00EF3441" w:rsidRDefault="00EF3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A2A4C"/>
    <w:multiLevelType w:val="hybridMultilevel"/>
    <w:tmpl w:val="C622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C3164"/>
    <w:multiLevelType w:val="hybridMultilevel"/>
    <w:tmpl w:val="F83C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7591B"/>
    <w:multiLevelType w:val="hybridMultilevel"/>
    <w:tmpl w:val="5204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60"/>
    <w:rsid w:val="000109A2"/>
    <w:rsid w:val="000D17C4"/>
    <w:rsid w:val="000E62B6"/>
    <w:rsid w:val="001634C1"/>
    <w:rsid w:val="00196DB2"/>
    <w:rsid w:val="001B4DC4"/>
    <w:rsid w:val="001B71AF"/>
    <w:rsid w:val="00212597"/>
    <w:rsid w:val="003F3060"/>
    <w:rsid w:val="00476437"/>
    <w:rsid w:val="00490B34"/>
    <w:rsid w:val="004A7E95"/>
    <w:rsid w:val="0055225B"/>
    <w:rsid w:val="00593F8E"/>
    <w:rsid w:val="00685DED"/>
    <w:rsid w:val="00954B94"/>
    <w:rsid w:val="00957364"/>
    <w:rsid w:val="009A285A"/>
    <w:rsid w:val="00A3021F"/>
    <w:rsid w:val="00A8471B"/>
    <w:rsid w:val="00AF540E"/>
    <w:rsid w:val="00AF6536"/>
    <w:rsid w:val="00B15E3A"/>
    <w:rsid w:val="00B63AFC"/>
    <w:rsid w:val="00BB74F5"/>
    <w:rsid w:val="00C7371B"/>
    <w:rsid w:val="00CE727F"/>
    <w:rsid w:val="00D2186D"/>
    <w:rsid w:val="00D63F67"/>
    <w:rsid w:val="00DE6145"/>
    <w:rsid w:val="00DE737D"/>
    <w:rsid w:val="00E70B17"/>
    <w:rsid w:val="00E94117"/>
    <w:rsid w:val="00EE20BB"/>
    <w:rsid w:val="00EF3441"/>
    <w:rsid w:val="00FF0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5AE01"/>
  <w15:docId w15:val="{65308D11-69A6-4E58-A25F-09458FCB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060"/>
  </w:style>
  <w:style w:type="paragraph" w:styleId="Footer">
    <w:name w:val="footer"/>
    <w:basedOn w:val="Normal"/>
    <w:link w:val="FooterChar"/>
    <w:uiPriority w:val="99"/>
    <w:unhideWhenUsed/>
    <w:rsid w:val="003F3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060"/>
  </w:style>
  <w:style w:type="paragraph" w:styleId="BalloonText">
    <w:name w:val="Balloon Text"/>
    <w:basedOn w:val="Normal"/>
    <w:link w:val="BalloonTextChar"/>
    <w:uiPriority w:val="99"/>
    <w:semiHidden/>
    <w:unhideWhenUsed/>
    <w:rsid w:val="003F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60"/>
    <w:rPr>
      <w:rFonts w:ascii="Tahoma" w:hAnsi="Tahoma" w:cs="Tahoma"/>
      <w:sz w:val="16"/>
      <w:szCs w:val="16"/>
    </w:rPr>
  </w:style>
  <w:style w:type="table" w:styleId="TableGrid">
    <w:name w:val="Table Grid"/>
    <w:basedOn w:val="TableNormal"/>
    <w:uiPriority w:val="59"/>
    <w:rsid w:val="00C7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3F8E"/>
    <w:rPr>
      <w:sz w:val="16"/>
      <w:szCs w:val="16"/>
    </w:rPr>
  </w:style>
  <w:style w:type="paragraph" w:styleId="CommentText">
    <w:name w:val="annotation text"/>
    <w:basedOn w:val="Normal"/>
    <w:link w:val="CommentTextChar"/>
    <w:uiPriority w:val="99"/>
    <w:semiHidden/>
    <w:unhideWhenUsed/>
    <w:rsid w:val="00593F8E"/>
    <w:pPr>
      <w:spacing w:line="240" w:lineRule="auto"/>
    </w:pPr>
    <w:rPr>
      <w:sz w:val="20"/>
      <w:szCs w:val="20"/>
    </w:rPr>
  </w:style>
  <w:style w:type="character" w:customStyle="1" w:styleId="CommentTextChar">
    <w:name w:val="Comment Text Char"/>
    <w:basedOn w:val="DefaultParagraphFont"/>
    <w:link w:val="CommentText"/>
    <w:uiPriority w:val="99"/>
    <w:semiHidden/>
    <w:rsid w:val="00593F8E"/>
    <w:rPr>
      <w:sz w:val="20"/>
      <w:szCs w:val="20"/>
    </w:rPr>
  </w:style>
  <w:style w:type="paragraph" w:styleId="CommentSubject">
    <w:name w:val="annotation subject"/>
    <w:basedOn w:val="CommentText"/>
    <w:next w:val="CommentText"/>
    <w:link w:val="CommentSubjectChar"/>
    <w:uiPriority w:val="99"/>
    <w:semiHidden/>
    <w:unhideWhenUsed/>
    <w:rsid w:val="00593F8E"/>
    <w:rPr>
      <w:b/>
      <w:bCs/>
    </w:rPr>
  </w:style>
  <w:style w:type="character" w:customStyle="1" w:styleId="CommentSubjectChar">
    <w:name w:val="Comment Subject Char"/>
    <w:basedOn w:val="CommentTextChar"/>
    <w:link w:val="CommentSubject"/>
    <w:uiPriority w:val="99"/>
    <w:semiHidden/>
    <w:rsid w:val="00593F8E"/>
    <w:rPr>
      <w:b/>
      <w:bCs/>
      <w:sz w:val="20"/>
      <w:szCs w:val="20"/>
    </w:rPr>
  </w:style>
  <w:style w:type="character" w:styleId="Hyperlink">
    <w:name w:val="Hyperlink"/>
    <w:basedOn w:val="DefaultParagraphFont"/>
    <w:uiPriority w:val="99"/>
    <w:unhideWhenUsed/>
    <w:rsid w:val="00E70B17"/>
    <w:rPr>
      <w:color w:val="0000FF" w:themeColor="hyperlink"/>
      <w:u w:val="single"/>
    </w:rPr>
  </w:style>
  <w:style w:type="character" w:styleId="FollowedHyperlink">
    <w:name w:val="FollowedHyperlink"/>
    <w:basedOn w:val="DefaultParagraphFont"/>
    <w:uiPriority w:val="99"/>
    <w:semiHidden/>
    <w:unhideWhenUsed/>
    <w:rsid w:val="00DE6145"/>
    <w:rPr>
      <w:color w:val="800080" w:themeColor="followedHyperlink"/>
      <w:u w:val="single"/>
    </w:rPr>
  </w:style>
  <w:style w:type="paragraph" w:customStyle="1" w:styleId="Default">
    <w:name w:val="Default"/>
    <w:rsid w:val="00DE737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F6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AB19D13575B4985028E36D93F4837" ma:contentTypeVersion="0" ma:contentTypeDescription="Create a new document." ma:contentTypeScope="" ma:versionID="161f4dafe0ea598163d3b740da90cd6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23E53-CD51-4E5B-B054-E5D7F2D38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55CE9C-C5B3-49D1-96E9-78C9FE064165}">
  <ds:schemaRefs>
    <ds:schemaRef ds:uri="http://schemas.openxmlformats.org/officeDocument/2006/bibliography"/>
  </ds:schemaRefs>
</ds:datastoreItem>
</file>

<file path=customXml/itemProps3.xml><?xml version="1.0" encoding="utf-8"?>
<ds:datastoreItem xmlns:ds="http://schemas.openxmlformats.org/officeDocument/2006/customXml" ds:itemID="{C783863A-1D25-41B8-AE7E-FDFD8C6FCF50}">
  <ds:schemaRefs>
    <ds:schemaRef ds:uri="http://schemas.microsoft.com/sharepoint/v3/contenttype/forms"/>
  </ds:schemaRefs>
</ds:datastoreItem>
</file>

<file path=customXml/itemProps4.xml><?xml version="1.0" encoding="utf-8"?>
<ds:datastoreItem xmlns:ds="http://schemas.openxmlformats.org/officeDocument/2006/customXml" ds:itemID="{4D0C11E2-59A9-48D7-8259-723227758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Boylan</dc:creator>
  <cp:lastModifiedBy>John Gili-Ross</cp:lastModifiedBy>
  <cp:revision>4</cp:revision>
  <dcterms:created xsi:type="dcterms:W3CDTF">2021-06-29T14:02:00Z</dcterms:created>
  <dcterms:modified xsi:type="dcterms:W3CDTF">2021-07-01T06:42:00Z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0x010100F00AB19D13575B4985028E36D93F4837</vt:lpwstr>
  </property>
  <property fmtid="{D5CDD505-2E9C-101B-9397-08002B2CF9AE}" pid="3" name="AuthorIds_UIVersion_2">
    <vt:lpwstr>132</vt:lpwstr>
  </property>
  <property fmtid="{D5CDD505-2E9C-101B-9397-08002B2CF9AE}" pid="4" name="Order">
    <vt:r8>121400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emplateUrl">
    <vt:lpwstr/>
  </property>
  <property fmtid="{D5CDD505-2E9C-101B-9397-08002B2CF9AE}" pid="9" name="ComplianceAssetId">
    <vt:lpwstr/>
  </property>
  <property fmtid="{D5CDD505-2E9C-101B-9397-08002B2CF9AE}" pid="10" name="MSIP_Label_39d8be9e-c8d9-4b9c-bd40-2c27cc7ea2e6_Enabled">
    <vt:lpwstr>true</vt:lpwstr>
  </property>
  <property fmtid="{D5CDD505-2E9C-101B-9397-08002B2CF9AE}" pid="11" name="MSIP_Label_39d8be9e-c8d9-4b9c-bd40-2c27cc7ea2e6_SetDate">
    <vt:lpwstr>2021-06-22T15:14:03Z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d0a9786e-dbe2-4d22-92f7-0000d06716ff</vt:lpwstr>
  </property>
  <property fmtid="{D5CDD505-2E9C-101B-9397-08002B2CF9AE}" pid="16" name="MSIP_Label_39d8be9e-c8d9-4b9c-bd40-2c27cc7ea2e6_ContentBits">
    <vt:lpwstr>0</vt:lpwstr>
  </property>
</Properties>
</file>